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Аналитическая справка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проведения школьного</w:t>
      </w:r>
      <w:r>
        <w:rPr>
          <w:sz w:val="26"/>
          <w:szCs w:val="26"/>
        </w:rPr>
        <w:t xml:space="preserve"> этап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Всероссийской олимпиады школьников</w:t>
      </w:r>
      <w:r>
        <w:rPr>
          <w:sz w:val="26"/>
          <w:szCs w:val="26"/>
        </w:rPr>
        <w:t xml:space="preserve"> по общеобразовательным предметам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2023-2024</w:t>
      </w:r>
      <w:r>
        <w:rPr>
          <w:sz w:val="26"/>
          <w:szCs w:val="26"/>
        </w:rPr>
        <w:t xml:space="preserve"> учебном году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before="20" w:after="40" w:line="360" w:lineRule="auto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846"/>
        <w:jc w:val="both"/>
        <w:spacing w:before="20" w:after="40" w:line="360" w:lineRule="auto"/>
        <w:widowControl w:val="o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Школьная олимпиада является первым этапом Всероссийской олимпиады школьников. </w:t>
      </w:r>
      <w:r>
        <w:rPr>
          <w:color w:val="000000"/>
          <w:sz w:val="26"/>
          <w:szCs w:val="26"/>
        </w:rPr>
        <w:t xml:space="preserve">Участие в предметной олимпиаде – эт</w:t>
      </w:r>
      <w:r>
        <w:rPr>
          <w:color w:val="000000"/>
          <w:sz w:val="26"/>
          <w:szCs w:val="26"/>
        </w:rPr>
        <w:t xml:space="preserve">о итог работы педагогического коллектива с одаренными </w:t>
      </w:r>
      <w:r>
        <w:rPr>
          <w:color w:val="000000"/>
          <w:sz w:val="26"/>
          <w:szCs w:val="26"/>
        </w:rPr>
        <w:t xml:space="preserve">учащимися</w:t>
      </w:r>
      <w:r>
        <w:rPr>
          <w:color w:val="000000"/>
          <w:sz w:val="26"/>
          <w:szCs w:val="26"/>
        </w:rPr>
        <w:t xml:space="preserve"> не только </w:t>
      </w:r>
      <w:r>
        <w:rPr>
          <w:color w:val="000000"/>
          <w:sz w:val="26"/>
          <w:szCs w:val="26"/>
        </w:rPr>
        <w:t xml:space="preserve">на уроках</w:t>
      </w:r>
      <w:r>
        <w:rPr>
          <w:color w:val="000000"/>
          <w:sz w:val="26"/>
          <w:szCs w:val="26"/>
        </w:rPr>
        <w:t xml:space="preserve">, но и </w:t>
      </w:r>
      <w:r>
        <w:rPr>
          <w:color w:val="000000"/>
          <w:sz w:val="26"/>
          <w:szCs w:val="26"/>
        </w:rPr>
        <w:t xml:space="preserve">во </w:t>
      </w:r>
      <w:r>
        <w:rPr>
          <w:color w:val="000000"/>
          <w:sz w:val="26"/>
          <w:szCs w:val="26"/>
        </w:rPr>
        <w:t xml:space="preserve">внеурочной деятельности (</w:t>
      </w:r>
      <w:r>
        <w:rPr>
          <w:color w:val="000000"/>
          <w:sz w:val="26"/>
          <w:szCs w:val="26"/>
        </w:rPr>
        <w:t xml:space="preserve">факультативах,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кружках</w:t>
      </w:r>
      <w:r>
        <w:rPr>
          <w:color w:val="000000"/>
          <w:sz w:val="26"/>
          <w:szCs w:val="26"/>
        </w:rPr>
        <w:t xml:space="preserve"> и т.д.)</w:t>
      </w:r>
      <w:r>
        <w:rPr>
          <w:color w:val="000000"/>
          <w:sz w:val="26"/>
          <w:szCs w:val="26"/>
        </w:rPr>
        <w:t xml:space="preserve">. Учащиеся показывают знания</w:t>
      </w:r>
      <w:r>
        <w:rPr>
          <w:color w:val="000000"/>
          <w:sz w:val="26"/>
          <w:szCs w:val="26"/>
        </w:rPr>
        <w:t xml:space="preserve">,</w:t>
      </w:r>
      <w:r>
        <w:rPr>
          <w:color w:val="000000"/>
          <w:sz w:val="26"/>
          <w:szCs w:val="26"/>
        </w:rPr>
        <w:t xml:space="preserve"> полученные вне рамок школьной программы.</w:t>
      </w: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</w:p>
    <w:p>
      <w:pPr>
        <w:pStyle w:val="846"/>
        <w:ind w:firstLine="72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Основными целями и задачами Олимпиады являются: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52"/>
        <w:jc w:val="both"/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846"/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создание необходимых условий для поддержки одаренных детей;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активизация работы факультативов, кружков и других форм внеклассной  и внешкольной работы с учащимися;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tabs>
          <w:tab w:val="left" w:pos="70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оказание помощи старшеклассникам в профессиональном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самоопределении.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8"/>
        <w:jc w:val="both"/>
        <w:spacing w:line="36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школьного этапа </w:t>
      </w:r>
      <w:r>
        <w:rPr>
          <w:color w:val="000000"/>
          <w:sz w:val="26"/>
          <w:szCs w:val="26"/>
        </w:rPr>
        <w:t xml:space="preserve">предметных </w:t>
      </w:r>
      <w:r>
        <w:rPr>
          <w:color w:val="000000"/>
          <w:sz w:val="26"/>
          <w:szCs w:val="26"/>
        </w:rPr>
        <w:t xml:space="preserve">олимпиад регламентировалось </w:t>
      </w:r>
      <w:r>
        <w:rPr>
          <w:color w:val="000000"/>
          <w:sz w:val="26"/>
          <w:szCs w:val="26"/>
        </w:rPr>
        <w:t xml:space="preserve">П</w:t>
      </w:r>
      <w:r>
        <w:rPr>
          <w:color w:val="000000"/>
          <w:sz w:val="26"/>
          <w:szCs w:val="26"/>
        </w:rPr>
        <w:t xml:space="preserve">оложением</w:t>
      </w:r>
      <w:r>
        <w:rPr>
          <w:color w:val="000000"/>
          <w:sz w:val="26"/>
          <w:szCs w:val="26"/>
        </w:rPr>
        <w:t xml:space="preserve"> о проведении школьного этапа </w:t>
      </w:r>
      <w:r>
        <w:rPr>
          <w:color w:val="000000"/>
          <w:sz w:val="26"/>
          <w:szCs w:val="26"/>
        </w:rPr>
        <w:t xml:space="preserve">в</w:t>
      </w:r>
      <w:r>
        <w:rPr>
          <w:color w:val="000000"/>
          <w:sz w:val="26"/>
          <w:szCs w:val="26"/>
        </w:rPr>
        <w:t xml:space="preserve">сероссийской олимпиады школьников по общеобразовательным предметам»</w:t>
      </w:r>
      <w:r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п</w:t>
      </w:r>
      <w:r>
        <w:rPr>
          <w:color w:val="000000" w:themeColor="text1"/>
          <w:sz w:val="26"/>
          <w:szCs w:val="26"/>
        </w:rPr>
        <w:t xml:space="preserve">риказом ОНО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№ 135 от 05.09.2023</w:t>
      </w:r>
      <w:r>
        <w:rPr>
          <w:color w:val="000000" w:themeColor="text1"/>
          <w:sz w:val="26"/>
          <w:szCs w:val="26"/>
        </w:rPr>
        <w:t xml:space="preserve"> г.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«О проведении школьного этапа всероссийской олимпиады школьников по обще</w:t>
      </w:r>
      <w:r>
        <w:rPr>
          <w:sz w:val="26"/>
          <w:szCs w:val="26"/>
        </w:rPr>
        <w:t xml:space="preserve">образовательным предметам в 2023-2024</w:t>
      </w:r>
      <w:r>
        <w:rPr>
          <w:sz w:val="26"/>
          <w:szCs w:val="26"/>
        </w:rPr>
        <w:t xml:space="preserve"> учебном году».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</w:t>
      </w:r>
      <w:r>
        <w:rPr>
          <w:sz w:val="26"/>
          <w:szCs w:val="26"/>
        </w:rPr>
        <w:t xml:space="preserve">кольные олимпиады были проведены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следующим </w:t>
      </w:r>
      <w:r>
        <w:rPr>
          <w:sz w:val="26"/>
          <w:szCs w:val="26"/>
        </w:rPr>
        <w:t xml:space="preserve">предмет</w:t>
      </w:r>
      <w:r>
        <w:rPr>
          <w:sz w:val="26"/>
          <w:szCs w:val="26"/>
        </w:rPr>
        <w:t xml:space="preserve">ам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физика, р</w:t>
      </w:r>
      <w:r>
        <w:rPr>
          <w:sz w:val="26"/>
          <w:szCs w:val="26"/>
        </w:rPr>
        <w:t xml:space="preserve">усский язык,  математика,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история,   биология, </w:t>
      </w:r>
      <w:r>
        <w:rPr>
          <w:sz w:val="26"/>
          <w:szCs w:val="26"/>
        </w:rPr>
        <w:t xml:space="preserve">  литература,  </w:t>
      </w:r>
      <w:r>
        <w:rPr>
          <w:sz w:val="26"/>
          <w:szCs w:val="26"/>
        </w:rPr>
        <w:t xml:space="preserve">английский язык,  обществознание</w:t>
      </w:r>
      <w:r>
        <w:rPr>
          <w:sz w:val="26"/>
          <w:szCs w:val="26"/>
        </w:rPr>
        <w:t xml:space="preserve">, химия, география</w:t>
      </w:r>
      <w:r>
        <w:rPr>
          <w:sz w:val="26"/>
          <w:szCs w:val="26"/>
        </w:rPr>
        <w:t xml:space="preserve">,  экология, экономика, право,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технология, ОБЖ, астрономия, </w:t>
      </w:r>
      <w:r>
        <w:rPr>
          <w:sz w:val="26"/>
          <w:szCs w:val="26"/>
        </w:rPr>
        <w:t xml:space="preserve">физическая культура</w:t>
      </w:r>
      <w:r>
        <w:rPr>
          <w:sz w:val="26"/>
          <w:szCs w:val="26"/>
        </w:rPr>
        <w:t xml:space="preserve">, искусство</w:t>
      </w:r>
      <w:r>
        <w:rPr>
          <w:sz w:val="26"/>
          <w:szCs w:val="26"/>
        </w:rPr>
        <w:t xml:space="preserve">, информатика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Школьный этап Всероссийской олимпиады школьников проводился с </w:t>
      </w: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 сентября  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28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</w:t>
      </w:r>
      <w:r>
        <w:rPr>
          <w:sz w:val="26"/>
          <w:szCs w:val="26"/>
        </w:rPr>
        <w:t xml:space="preserve"> 2023</w:t>
      </w:r>
      <w:r>
        <w:rPr>
          <w:sz w:val="26"/>
          <w:szCs w:val="26"/>
        </w:rPr>
        <w:t xml:space="preserve"> года.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Оценка олимпиадных работ </w:t>
      </w:r>
      <w:r>
        <w:rPr>
          <w:sz w:val="26"/>
          <w:szCs w:val="26"/>
        </w:rPr>
        <w:t xml:space="preserve">проводилась </w:t>
      </w:r>
      <w:r>
        <w:rPr>
          <w:sz w:val="26"/>
          <w:szCs w:val="26"/>
        </w:rPr>
        <w:t xml:space="preserve">по результативности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Школьный  этап  проводился  по  единым     олимпиадным  заданиям,  разработанным  </w:t>
      </w:r>
      <w:r>
        <w:rPr>
          <w:sz w:val="26"/>
          <w:szCs w:val="26"/>
        </w:rPr>
        <w:t xml:space="preserve">руководителями районных методических объединений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Школьный этап по физике, математике, химии, биологии, информатике</w:t>
      </w:r>
      <w:r>
        <w:rPr>
          <w:sz w:val="26"/>
          <w:szCs w:val="26"/>
        </w:rPr>
        <w:t xml:space="preserve">, астрономии</w:t>
      </w:r>
      <w:r>
        <w:rPr>
          <w:sz w:val="26"/>
          <w:szCs w:val="26"/>
        </w:rPr>
        <w:t xml:space="preserve"> проводился на образовательной платформе Сириус.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Школьный этап по русскому языку, литературе, обществознанию, английскому языку</w:t>
      </w:r>
      <w:r>
        <w:rPr>
          <w:sz w:val="26"/>
          <w:szCs w:val="26"/>
        </w:rPr>
        <w:t xml:space="preserve"> проводился на образовательной платформе Сириус.</w:t>
      </w:r>
      <w:r>
        <w:rPr>
          <w:sz w:val="26"/>
          <w:szCs w:val="26"/>
        </w:rPr>
        <w:t xml:space="preserve">Приморье.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олимпиады </w:t>
      </w:r>
      <w:r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 xml:space="preserve"> не были выявлены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основании протоколов проведения олимпиад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баллов, признаны победителями школьного этапа олимпиады при условии, что количество набранн</w:t>
      </w:r>
      <w:r>
        <w:rPr>
          <w:sz w:val="26"/>
          <w:szCs w:val="26"/>
        </w:rPr>
        <w:t xml:space="preserve">ых ими баллов равно 70</w:t>
      </w:r>
      <w:r>
        <w:rPr>
          <w:sz w:val="26"/>
          <w:szCs w:val="26"/>
        </w:rPr>
        <w:t xml:space="preserve"> %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максимально возможных баллов.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5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5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Таблица результативности участия школьников в предметных олимпиадах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5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tbl>
      <w:tblPr>
        <w:tblW w:w="8466" w:type="dxa"/>
        <w:jc w:val="center"/>
        <w:tblInd w:w="-3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02"/>
        <w:gridCol w:w="2865"/>
        <w:gridCol w:w="1559"/>
        <w:gridCol w:w="1720"/>
        <w:gridCol w:w="1520"/>
      </w:tblGrid>
      <w:tr>
        <w:trPr>
          <w:trHeight w:val="5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№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Предмет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Количество участников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Кол-во победителей</w:t>
            </w:r>
            <w:r>
              <w:rPr>
                <w:color w:val="000000" w:themeColor="text1"/>
                <w:sz w:val="26"/>
                <w:szCs w:val="26"/>
              </w:rPr>
              <w:t xml:space="preserve"> и призеров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% победителей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Биология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9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11,1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История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7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70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Литература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7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42,8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4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Математика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5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Английский  язык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12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8,3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6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Обществознание 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9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7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Русский язык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22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73, 3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8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Физика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9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География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9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22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Химия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Экономика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12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ОБЖ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25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9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36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Право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4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Физическая культура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66,6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15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Экология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4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50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16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Информатика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4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17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Окружающий мир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4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36,3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18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Искусство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19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Астрономия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28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1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3,5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02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20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2865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Технология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8</w:t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17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0" w:type="dxa"/>
            <w:vAlign w:val="top"/>
            <w:textDirection w:val="lrTb"/>
            <w:noWrap w:val="false"/>
          </w:tcPr>
          <w:p>
            <w:pPr>
              <w:pStyle w:val="846"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0</w:t>
            </w:r>
            <w:r>
              <w:rPr>
                <w:color w:val="000000" w:themeColor="text1"/>
                <w:sz w:val="26"/>
                <w:szCs w:val="26"/>
              </w:rPr>
            </w: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846"/>
        <w:ind w:firstLine="705"/>
        <w:jc w:val="center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5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Анализируя данные таблицы, с</w:t>
      </w:r>
      <w:r>
        <w:rPr>
          <w:sz w:val="26"/>
          <w:szCs w:val="26"/>
        </w:rPr>
        <w:t xml:space="preserve">ледует </w:t>
      </w:r>
      <w:r>
        <w:rPr>
          <w:sz w:val="26"/>
          <w:szCs w:val="26"/>
        </w:rPr>
        <w:t xml:space="preserve">сделать вывод: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705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numPr>
          <w:ilvl w:val="0"/>
          <w:numId w:val="8"/>
        </w:num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высокий процент победителей и призеров школьного этапа олимпиады </w:t>
      </w:r>
      <w:r>
        <w:rPr>
          <w:sz w:val="26"/>
          <w:szCs w:val="26"/>
        </w:rPr>
        <w:t xml:space="preserve">показан на предметах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  <w:t xml:space="preserve"> история, русский язык, физическая культура, экология.</w:t>
      </w:r>
      <w:r>
        <w:rPr>
          <w:sz w:val="26"/>
          <w:szCs w:val="26"/>
        </w:rPr>
      </w:r>
    </w:p>
    <w:p>
      <w:pPr>
        <w:pStyle w:val="846"/>
        <w:numPr>
          <w:ilvl w:val="0"/>
          <w:numId w:val="8"/>
        </w:num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низкий процент победителей и призеров школьного этапа олимпиады показан на предметах: </w:t>
      </w:r>
      <w:r>
        <w:rPr>
          <w:sz w:val="26"/>
          <w:szCs w:val="26"/>
        </w:rPr>
        <w:t xml:space="preserve">биология, английский язык, литература</w:t>
      </w:r>
      <w:r>
        <w:rPr>
          <w:sz w:val="26"/>
          <w:szCs w:val="26"/>
        </w:rPr>
        <w:t xml:space="preserve">, география, ОБЖ, окружающий мир.</w:t>
      </w:r>
      <w:r>
        <w:rPr>
          <w:sz w:val="26"/>
          <w:szCs w:val="26"/>
        </w:rPr>
      </w:r>
    </w:p>
    <w:p>
      <w:pPr>
        <w:pStyle w:val="846"/>
        <w:numPr>
          <w:ilvl w:val="0"/>
          <w:numId w:val="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Нет  победителей и призеров школьного этапа олимпиады в  предметах: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химия, </w:t>
      </w:r>
      <w:r>
        <w:rPr>
          <w:sz w:val="26"/>
          <w:szCs w:val="26"/>
        </w:rPr>
        <w:t xml:space="preserve">математи</w:t>
      </w:r>
      <w:r>
        <w:rPr>
          <w:sz w:val="26"/>
          <w:szCs w:val="26"/>
        </w:rPr>
        <w:t xml:space="preserve">ка, физика, </w:t>
      </w:r>
      <w:r>
        <w:rPr>
          <w:sz w:val="26"/>
          <w:szCs w:val="26"/>
        </w:rPr>
        <w:t xml:space="preserve">информатика, искусство, технология,  искусство.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left="72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Рекомендации: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numPr>
          <w:ilvl w:val="0"/>
          <w:numId w:val="2"/>
        </w:numPr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Учителям</w:t>
      </w:r>
      <w:r>
        <w:rPr>
          <w:sz w:val="26"/>
          <w:szCs w:val="26"/>
        </w:rPr>
        <w:t xml:space="preserve">-предметникам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необходимо использовать все виды учебной и внеурочной деятельности для целенаправленной подготовки</w:t>
      </w:r>
      <w:r>
        <w:rPr>
          <w:sz w:val="26"/>
          <w:szCs w:val="26"/>
        </w:rPr>
        <w:t xml:space="preserve"> к олимпиадам;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36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2.Учителям-предметникам, учащимся которых рекомендовано принять участие в муниципальном этапе олимпиады, осуществлять целенаправленную индивидуальную работу по подготовке участников.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36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3.Классным руководителям проводить беседы с родителями о значимости  участия  детей в олимпиадах.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ind w:firstLine="360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4.Использовать интерактивные источники информации при подготовке к олимпиадам.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Методист:                                                                                              </w:t>
      </w:r>
      <w:r>
        <w:rPr>
          <w:sz w:val="26"/>
          <w:szCs w:val="26"/>
        </w:rPr>
        <w:t xml:space="preserve">Н. В. Артамонова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46"/>
        <w:jc w:val="bot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85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851" w:bottom="125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2.%3."/>
      <w:lvlJc w:val="left"/>
      <w:pPr>
        <w:ind w:left="2160" w:hanging="36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2.%3.%4.%5.%6."/>
      <w:lvlJc w:val="left"/>
      <w:pPr>
        <w:ind w:left="4320" w:hanging="36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2.%3.%4.%5.%6.%7.%8.%9."/>
      <w:lvlJc w:val="left"/>
      <w:pPr>
        <w:ind w:left="6480" w:hanging="3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90" w:hanging="117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6"/>
    <w:next w:val="846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6"/>
    <w:next w:val="846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6"/>
    <w:next w:val="846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6"/>
    <w:next w:val="846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6"/>
    <w:next w:val="846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6"/>
    <w:next w:val="846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6"/>
    <w:next w:val="846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6"/>
    <w:next w:val="846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6"/>
    <w:next w:val="846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spacing w:before="0" w:after="0" w:line="240" w:lineRule="auto"/>
    </w:pPr>
  </w:style>
  <w:style w:type="paragraph" w:styleId="688">
    <w:name w:val="Title"/>
    <w:basedOn w:val="846"/>
    <w:next w:val="846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6"/>
    <w:next w:val="846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next w:val="846"/>
    <w:link w:val="846"/>
    <w:qFormat/>
    <w:rPr>
      <w:sz w:val="24"/>
      <w:szCs w:val="24"/>
      <w:lang w:val="ru-RU" w:eastAsia="ru-RU" w:bidi="ar-SA"/>
    </w:rPr>
  </w:style>
  <w:style w:type="character" w:styleId="847">
    <w:name w:val="Основной шрифт абзаца"/>
    <w:next w:val="847"/>
    <w:link w:val="846"/>
    <w:semiHidden/>
  </w:style>
  <w:style w:type="table" w:styleId="848">
    <w:name w:val="Обычная таблица"/>
    <w:next w:val="848"/>
    <w:link w:val="846"/>
    <w:semiHidden/>
    <w:tblPr/>
  </w:style>
  <w:style w:type="numbering" w:styleId="849">
    <w:name w:val="Нет списка"/>
    <w:next w:val="849"/>
    <w:link w:val="846"/>
    <w:semiHidden/>
  </w:style>
  <w:style w:type="table" w:styleId="850">
    <w:name w:val="Сетка таблицы"/>
    <w:basedOn w:val="848"/>
    <w:next w:val="850"/>
    <w:link w:val="846"/>
    <w:tblPr/>
  </w:style>
  <w:style w:type="character" w:styleId="851">
    <w:name w:val="Гиперссылка"/>
    <w:next w:val="851"/>
    <w:link w:val="846"/>
    <w:rPr>
      <w:color w:val="0000ff"/>
      <w:u w:val="single"/>
    </w:rPr>
  </w:style>
  <w:style w:type="paragraph" w:styleId="852">
    <w:name w:val="List Paragraph"/>
    <w:basedOn w:val="846"/>
    <w:next w:val="852"/>
    <w:link w:val="846"/>
    <w:pPr>
      <w:spacing w:after="200" w:line="276" w:lineRule="atLeast"/>
      <w:tabs>
        <w:tab w:val="left" w:pos="709" w:leader="none"/>
      </w:tabs>
    </w:pPr>
    <w:rPr>
      <w:rFonts w:ascii="Calibri" w:hAnsi="Calibri"/>
      <w:color w:val="00000a"/>
      <w:sz w:val="22"/>
      <w:szCs w:val="22"/>
      <w:lang w:eastAsia="ar-SA"/>
    </w:rPr>
  </w:style>
  <w:style w:type="paragraph" w:styleId="853">
    <w:name w:val="Абзац списка"/>
    <w:basedOn w:val="846"/>
    <w:next w:val="853"/>
    <w:link w:val="846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854">
    <w:name w:val="Текст выноски"/>
    <w:basedOn w:val="846"/>
    <w:next w:val="854"/>
    <w:link w:val="855"/>
    <w:rPr>
      <w:rFonts w:ascii="Tahoma" w:hAnsi="Tahoma" w:cs="Tahoma"/>
      <w:sz w:val="16"/>
      <w:szCs w:val="16"/>
    </w:rPr>
  </w:style>
  <w:style w:type="character" w:styleId="855">
    <w:name w:val="Текст выноски Знак"/>
    <w:next w:val="855"/>
    <w:link w:val="854"/>
    <w:rPr>
      <w:rFonts w:ascii="Tahoma" w:hAnsi="Tahoma" w:cs="Tahoma"/>
      <w:sz w:val="16"/>
      <w:szCs w:val="16"/>
    </w:rPr>
  </w:style>
  <w:style w:type="character" w:styleId="856" w:default="1">
    <w:name w:val="Default Paragraph Font"/>
    <w:uiPriority w:val="1"/>
    <w:semiHidden/>
    <w:unhideWhenUsed/>
  </w:style>
  <w:style w:type="numbering" w:styleId="857" w:default="1">
    <w:name w:val="No List"/>
    <w:uiPriority w:val="99"/>
    <w:semiHidden/>
    <w:unhideWhenUsed/>
  </w:style>
  <w:style w:type="table" w:styleId="85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1</dc:creator>
  <cp:revision>27</cp:revision>
  <dcterms:created xsi:type="dcterms:W3CDTF">2022-11-10T07:40:00Z</dcterms:created>
  <dcterms:modified xsi:type="dcterms:W3CDTF">2023-11-24T06:30:18Z</dcterms:modified>
  <cp:version>917504</cp:version>
</cp:coreProperties>
</file>