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709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850"/>
        <w:gridCol w:w="850"/>
        <w:gridCol w:w="850"/>
        <w:gridCol w:w="78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№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    ФИО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Средний балл аттестата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Математика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Русский Язык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pPr>
              <w:jc w:val="center"/>
            </w:pPr>
            <w:r>
              <w:t xml:space="preserve">Физика 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Химия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Биология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История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Обществознание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География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Английский язык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Литература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Информатика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Бал за портфолио 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Рейтинговый бал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 xml:space="preserve">1</w:t>
            </w:r>
            <w:r>
              <w:rPr>
                <w:b/>
                <w:bCs/>
                <w:color w:val="000000" w:themeColor="text1"/>
                <w:lang w:val="en-US"/>
              </w:rPr>
            </w:r>
            <w:r>
              <w:rPr>
                <w:b/>
                <w:bCs/>
                <w:color w:val="000000" w:themeColor="text1"/>
                <w:lang w:val="en-US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Плешакова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Дарья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 5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27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  <w:lang w:val="ru-RU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Зубарева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Вера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   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    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    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   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   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2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27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Тихонова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Виктория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23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4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r>
              <w:t xml:space="preserve">Рыбец Анна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  4,5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  0</w:t>
            </w:r>
            <w:r>
              <w:rPr>
                <w:highlight w:val="none"/>
              </w:rPr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22,5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 xml:space="preserve">5</w:t>
            </w:r>
            <w:r>
              <w:rPr>
                <w:b/>
                <w:bCs/>
                <w:color w:val="000000" w:themeColor="text1"/>
                <w:lang w:val="en-US"/>
              </w:rPr>
            </w:r>
            <w:r>
              <w:rPr>
                <w:b/>
                <w:bCs/>
                <w:color w:val="000000" w:themeColor="text1"/>
                <w:lang w:val="en-US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Анчикова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Ева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4,3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22,3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6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Черняев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Андрей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1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22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7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Старцева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Александра</w:t>
            </w:r>
            <w:r>
              <w:rPr>
                <w:highlight w:val="none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4,6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21,6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8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Жорникова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Милена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4,5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21,5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9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r>
              <w:t xml:space="preserve">Левченко Дарья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21,4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10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Данненберг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Артём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21,4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 xml:space="preserve">11</w:t>
            </w:r>
            <w:r>
              <w:rPr>
                <w:b/>
                <w:bCs/>
                <w:color w:val="000000" w:themeColor="text1"/>
                <w:lang w:val="ru-RU"/>
              </w:rPr>
            </w:r>
            <w:r>
              <w:rPr>
                <w:b/>
                <w:bCs/>
                <w:color w:val="000000" w:themeColor="text1"/>
                <w:lang w:val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Пустоваренко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Александр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4,6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20,6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 xml:space="preserve">12</w:t>
            </w:r>
            <w:r>
              <w:rPr>
                <w:b/>
                <w:bCs/>
                <w:color w:val="000000" w:themeColor="text1"/>
                <w:lang w:val="en-US"/>
              </w:rPr>
            </w:r>
            <w:r>
              <w:rPr>
                <w:b/>
                <w:bCs/>
                <w:color w:val="000000" w:themeColor="text1"/>
                <w:lang w:val="en-US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Геворгян Манэ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4,4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20,4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13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Василенко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Дмитрий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4,1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20,1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14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Жевлакова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Диана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20,1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 xml:space="preserve">1</w:t>
            </w:r>
            <w:r>
              <w:rPr>
                <w:b/>
                <w:bCs/>
                <w:color w:val="000000" w:themeColor="text1"/>
              </w:rPr>
              <w:t xml:space="preserve">5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Щербинина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Светлана</w:t>
            </w:r>
            <w:r>
              <w:rPr>
                <w:highlight w:val="none"/>
                <w:lang w:val="ru-RU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 4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20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 xml:space="preserve">1</w:t>
            </w:r>
            <w:r>
              <w:rPr>
                <w:b/>
                <w:bCs/>
                <w:color w:val="000000" w:themeColor="text1"/>
                <w:lang w:val="ru-RU"/>
              </w:rPr>
              <w:t xml:space="preserve">6</w:t>
            </w:r>
            <w:r>
              <w:rPr>
                <w:b/>
                <w:bCs/>
                <w:color w:val="000000" w:themeColor="text1"/>
                <w:lang w:val="en-US"/>
              </w:rPr>
            </w:r>
            <w:r>
              <w:rPr>
                <w:b/>
                <w:bCs/>
                <w:color w:val="000000" w:themeColor="text1"/>
                <w:lang w:val="en-US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Тасыбеков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Шайхим</w:t>
            </w:r>
            <w:r>
              <w:rPr>
                <w:highlight w:val="none"/>
                <w:lang w:val="ru-RU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4,4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19,4       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</w:t>
            </w:r>
            <w:r>
              <w:rPr>
                <w:b/>
                <w:bCs/>
                <w:color w:val="000000" w:themeColor="text1"/>
              </w:rPr>
              <w:t xml:space="preserve">7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Жалнина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Ева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19,1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18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Старовой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Владимир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19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19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Гильманов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Кирилл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3,8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4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2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18,8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20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Гизбрехт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Анастасия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18,4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21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Калачникова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Ирина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4,3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>
              <w:t xml:space="preserve"> </w:t>
            </w:r>
            <w:r/>
          </w:p>
          <w:p>
            <w:r/>
            <w:r/>
          </w:p>
          <w:p>
            <w:r>
              <w:t xml:space="preserve">   18,3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22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Слабий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Ольга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18,3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23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Прибельская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Анна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4,1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0,5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17,6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24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Черевко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Арсений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16,9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25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Голубев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Дмитрий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3,9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2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16,9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26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Сахацкая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Есения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>
              <w:t xml:space="preserve"> </w:t>
            </w:r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16,8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27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r>
              <w:t xml:space="preserve">Царькова Полина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16,8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28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Казарян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Андрей</w:t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3,8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16,8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29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Зарайская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Елизавета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  0</w:t>
            </w:r>
            <w:r>
              <w:rPr>
                <w:highlight w:val="none"/>
              </w:rPr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16,8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30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Лоскутова</w:t>
            </w:r>
            <w:r/>
          </w:p>
          <w:p>
            <w:r>
              <w:rPr>
                <w:highlight w:val="none"/>
              </w:rPr>
              <w:t xml:space="preserve">Софья</w:t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3,5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16,5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31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Кушнерик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Анна</w:t>
            </w:r>
            <w:r>
              <w:rPr>
                <w:highlight w:val="none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16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32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33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34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35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shd w:val="nil" w:color="auto"/>
      <w:tabs>
        <w:tab w:val="clear" w:pos="7143" w:leader="none"/>
        <w:tab w:val="clear" w:pos="14287" w:leader="none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Рейтинг достижений учащихся кандидатов на обучение в профильных классах МБОУ «ПСОШ № 1 ПМО» по программе среднего общего </w:t>
    </w:r>
    <w:r>
      <w:rPr>
        <w:rFonts w:ascii="Times New Roman" w:hAnsi="Times New Roman" w:eastAsia="Times New Roman" w:cs="Times New Roman"/>
        <w:sz w:val="24"/>
        <w:szCs w:val="24"/>
      </w:rPr>
      <w:t xml:space="preserve">образования</w:t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3"/>
    <w:next w:val="853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3"/>
    <w:next w:val="853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3"/>
    <w:next w:val="8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link w:val="695"/>
    <w:uiPriority w:val="10"/>
    <w:rPr>
      <w:sz w:val="48"/>
      <w:szCs w:val="48"/>
    </w:rPr>
  </w:style>
  <w:style w:type="paragraph" w:styleId="697">
    <w:name w:val="Subtitle"/>
    <w:basedOn w:val="853"/>
    <w:next w:val="8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link w:val="697"/>
    <w:uiPriority w:val="11"/>
    <w:rPr>
      <w:sz w:val="24"/>
      <w:szCs w:val="24"/>
    </w:rPr>
  </w:style>
  <w:style w:type="paragraph" w:styleId="699">
    <w:name w:val="Quote"/>
    <w:basedOn w:val="853"/>
    <w:next w:val="853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3"/>
    <w:next w:val="853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3"/>
    <w:link w:val="704"/>
    <w:uiPriority w:val="99"/>
    <w:unhideWhenUsed/>
    <w:pPr>
      <w:jc w:val="center"/>
      <w:keepLines w:val="0"/>
      <w:spacing w:after="0" w:line="240" w:lineRule="auto"/>
      <w:tabs>
        <w:tab w:val="center" w:pos="7143" w:leader="none"/>
        <w:tab w:val="right" w:pos="14287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04">
    <w:name w:val="Header Char"/>
    <w:link w:val="703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05">
    <w:name w:val="Footer"/>
    <w:basedOn w:val="85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link w:val="705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No Spacing"/>
    <w:basedOn w:val="853"/>
    <w:uiPriority w:val="1"/>
    <w:qFormat/>
    <w:pPr>
      <w:spacing w:after="0" w:line="240" w:lineRule="auto"/>
    </w:pPr>
  </w:style>
  <w:style w:type="paragraph" w:styleId="857">
    <w:name w:val="List Paragraph"/>
    <w:basedOn w:val="853"/>
    <w:uiPriority w:val="34"/>
    <w:qFormat/>
    <w:pPr>
      <w:contextualSpacing/>
      <w:ind w:left="720"/>
    </w:pPr>
  </w:style>
  <w:style w:type="character" w:styleId="85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2025-07-14T01:25:43Z</dcterms:modified>
</cp:coreProperties>
</file>